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167005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199390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191135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199390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177165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65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Bitcoin Mining Operations Produce 151.4 BTC in Initial Operating Period; Capacity Reaches 9.66 EH/s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Operational Results Validate Mining Model; Company Now Among Fastest-Growing Bitcoin Mining Operators Globally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ABU DHABI, United Arab Emirates, Jan. 15, 2026 — NIP Group Inc. (“NIPG” or the “Company”) (NASDAQ: NIPG) today reported that its Bitcoin mining operations produced approximately 151.4 BTC during the initial operating period from September through November 2025, representing approximately $14.2 million at current prices.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that on January 15, 2026, following the previously disclosed Tranche 2 transaction and ongoing deployment activities, the Company’s Bitcoin mining capacity online reaches 9.66 EH/s, positioning NIPG among the top 20 publicly traded Bitcoin miners listed in the United States and the largest in the Middle East and North Africa by disclosed capacity.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remaining batches of the transaction are expected to close in January 2026. Consideration for the remaining batches will be settled through convertible notes. Upon completion of the final batch, the Company expects its total operating mining capacity to reach approximately 11.3 EH/s.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9" w:lineRule="exact"/>
        <w:rPr>
          <w:sz w:val="20"/>
          <w:szCs w:val="20"/>
          <w:color w:val="auto"/>
        </w:rPr>
      </w:pPr>
    </w:p>
    <w:p>
      <w:pPr>
        <w:ind w:left="660" w:hanging="38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operating period production: 151.4 BTC from 3.11 EH/s Tranche 1 fleet (~$14.2 million)</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installed capacity: 9.66 EH/s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Tranche 2: Additional 1.64 EH/s expected to close in January 2026</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deployment target: 11.3 EH/s, estimated to produce ~140 BTC per month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Hicham Chahine, Co-CEO of NIPG, commented: “These production results prove what we set out to demonstrate - that we can deploy mining infrastructure at scale and generate meaningful Bitcoin output. With 9.66 EH/s now operational and the remainder closing soon, we’ve built a second growth engine that complements our entertainment portfolio. This positions us uniquely at the intersection of digital assets, computing infrastructure, and gaming - with optionality to expand into AI workloads as that market develops.”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Carl Agren, COO of NIPG Mining and Digital Assets, added: “Our Tranche 1 fleet performed in line with expectations, and we’re now integrating the initial Tranche 2 assets into operations. The team executed a rapid and efficient deployment, and we’re focused on maintaining uptime and efficiency as we bring the remaining capacity online.”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NIPG’s strategic and operational plans, contain forward-looking statements. NIPG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NIPG’s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NIPG’s growth strategies; its future business development, results of operations and financial condition; its ability to maintain and enhance the recognition and reputation of its brand; developments in the relevant governmental laws, regulations, policies toward NIPG’s industry; and general economic and business conditions globally and in the countries or regions where NIPG has operations; and assumptions underlying or related to any of the foregoing. Further information regarding these and other risks is included in NIPG’s filings with the SEC. All information provided in this press release is as of the date of this press release, and NIPG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2026-01-15T07:15:25Z</dcterms:created>
  <dcterms:modified xsi:type="dcterms:W3CDTF">2026-01-15T07:15:25Z</dcterms:modified>
</cp:coreProperties>
</file>