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CHIU Chang-Wei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No. 2A, 255 Des Voeux Road West,, Sai Ying Pun, Hong Kong</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Hong Kong, K3, 000000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852 84899659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Prosperity Oak Holdings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57,965,652.00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57,965,652.00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57,965,652.00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Note to Row 1: Mr. CHIU Chang-Wei holds 100% of the voting power of the shares of Prosperity Oak Holdings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Limited. 2. Each of Row 7, 9, and 11 represents 57,965,652 Class A Ordinary Shares held by Prosperity Oak Holdings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Limited. 3. Note to Row 13: The percentage of class of securities beneficially owned by Prosperity Oak Holdings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Limited is calculated based on a total of 427,860,564 Class A Ordinary Shares issued and outstanding (consisting of (i)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365,280,890 Class A Ordinary Shares issued and outstanding as of March 31, 2026, as reported in the Reporting</w:t>
      </w:r>
    </w:p>
    <w:p>
      <w:pPr>
        <w:jc w:val="both"/>
        <w:ind w:left="920"/>
        <w:spacing w:after="0" w:line="243" w:lineRule="auto"/>
        <w:rPr>
          <w:sz w:val="20"/>
          <w:szCs w:val="20"/>
          <w:color w:val="auto"/>
        </w:rPr>
      </w:pPr>
      <w:r>
        <w:rPr>
          <w:rFonts w:ascii="Times New Roman" w:cs="Times New Roman" w:eastAsia="Times New Roman" w:hAnsi="Times New Roman"/>
          <w:sz w:val="21"/>
          <w:szCs w:val="21"/>
          <w:color w:val="auto"/>
        </w:rPr>
        <w:t>Person's 20-F filed with the Securities and Exchange Commission on April 30, 2026; plus (ii) 62,579,674 Class A Ordinary shares issued to certain persons as the consideration of the Transaction (as defined herein below) on May 29, 2026, as reported in Exhibit 99.1 of the Issuer's Form 6-K filed with the Securities and Exchange Commission on June 2, 2026. The voting power of the shares beneficially owned by Prosperity Oak Holdings Limited represents 2.8% of the total outstanding voting power. The percentage of voting power is calculated by dividing the voting power beneficially owned by Prosperity Oak Holdings Limited by the voting power of (i) a total of 427,860,564 Class A Ordinary Shares issued and outstanding as described above, and (ii) 51,900,121 Class B1 Ordinary Shares issued and outstanding and 31,534,504 Class B2 Ordinary Shares issued and outstanding as of March 31, 2026, as reported in the Reporting Person's 20-F filed with the Securities and Exchange Commission on April 30, 2026. In respect of all matters subject to a shareholders' vote, each Class A ordinary share is entitled to one vote, each Class B1 ordinary share is entitled to 20 votes, and each Class B2 ordinary share is entitled to 20 votes, voting together as one class.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CHIU Chang-Wei</w:t>
      </w:r>
    </w:p>
    <w:p>
      <w:pPr>
        <w:sectPr>
          <w:pgSz w:w="11900" w:h="16838" w:orient="portrait"/>
          <w:cols w:equalWidth="0" w:num="1">
            <w:col w:w="11240"/>
          </w:cols>
          <w:pgMar w:left="320" w:top="126" w:right="339" w:bottom="0" w:gutter="0" w:footer="0" w:header="0"/>
        </w:sectPr>
      </w:pPr>
    </w:p>
    <w:bookmarkStart w:id="2" w:name="page3"/>
    <w:bookmarkEnd w:id="2"/>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TAIWAN, PROVINCE OF CHINA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57,965,652.00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57,965,652.00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57,965,652.00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Note to Row 1: Mr. CHIU Chang-Wei holds 100% of the voting power of the shares of Prosperity Oak Holdings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Limited. 2. Each of Row 7, 9, and 11 represents 57,965,652 Class A Ordinary Shares held by Prosperity Oak Holdings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Limited. 3. Note to Row 13: The percentage of class of securities beneficially owned by Mr. CHIU Chang-Wei through</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Prosperity Oak Holdings Limited is calculated based on a total of 427,860,564 Class A Ordinary Shares issued and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outstanding (consisting of (i) 365,280,890 Class A Ordinary Shares issued and outstanding as of March 31, 2026, as</w:t>
      </w:r>
    </w:p>
    <w:p>
      <w:pPr>
        <w:spacing w:after="0" w:line="2" w:lineRule="exact"/>
        <w:rPr>
          <w:sz w:val="20"/>
          <w:szCs w:val="20"/>
          <w:color w:val="auto"/>
        </w:rPr>
      </w:pPr>
    </w:p>
    <w:p>
      <w:pPr>
        <w:jc w:val="both"/>
        <w:ind w:left="920"/>
        <w:spacing w:after="0" w:line="243" w:lineRule="auto"/>
        <w:rPr>
          <w:sz w:val="20"/>
          <w:szCs w:val="20"/>
          <w:color w:val="auto"/>
        </w:rPr>
      </w:pPr>
      <w:r>
        <w:rPr>
          <w:rFonts w:ascii="Times New Roman" w:cs="Times New Roman" w:eastAsia="Times New Roman" w:hAnsi="Times New Roman"/>
          <w:sz w:val="21"/>
          <w:szCs w:val="21"/>
          <w:color w:val="auto"/>
        </w:rPr>
        <w:t>reported in the Reporting Person's 20-F filed with the Securities and Exchange Commission on April 30, 2026; plus (ii) 62,579,674 Class A Ordinary shares issued to certain persons as the consideration of the Transaction (as defined herein below) on May 29, 2026, as reported in Exhibit 99.1 of the Issuer's Form 6-K filed with the Securities and Exchange Commission on June 2, 2026). The voting power of the shares beneficially owned by Prosperity Oak Holdings Limited represents 2.8% of the total outstanding voting power. The percentage of voting power is calculated by dividing the voting power beneficially owned by Prosperity Oak Holdings Limited by the voting power of (i) a total of 427,860,564 Class A Ordinary Shares issued and outstanding as described above, and (ii) 51,900,121 Class B1 Ordinary Shares issued and outstanding and 31,534,504 Class B2 Ordinary Shares issued and outstanding as of March 31, 2026, the Reporting Person's 20-F filed with the Securities and Exchange Commission on April 30, 2026. In respect of all matters subject to a shareholders' vote, each Class A ordinary share is entitled to one vote, each Class B1 ordinary share is entitled to 20 votes, and each Class B2 ordinary share is entitled to 20 votes, voting together as one class.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Class A Ordinary Shares, par value US$0.0001 per share</w:t>
      </w:r>
    </w:p>
    <w:p>
      <w:pPr>
        <w:sectPr>
          <w:pgSz w:w="11900" w:h="16838" w:orient="portrait"/>
          <w:cols w:equalWidth="0" w:num="1">
            <w:col w:w="11240"/>
          </w:cols>
          <w:pgMar w:left="320" w:top="111" w:right="339" w:bottom="0" w:gutter="0" w:footer="0" w:header="0"/>
        </w:sectPr>
      </w:pPr>
    </w:p>
    <w:bookmarkStart w:id="3" w:name="page4"/>
    <w:bookmarkEnd w:id="3"/>
    <w:p>
      <w:pPr>
        <w:jc w:val="both"/>
        <w:ind w:left="940" w:right="8840" w:hanging="932"/>
        <w:spacing w:after="0" w:line="389"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 NIP Group Inc.</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Rosenlundsgatan 31, 11 863, Stockholm, Sweden, Stockholm, SWEDEN , 11863.</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40"/>
        <w:spacing w:after="0" w:line="232" w:lineRule="auto"/>
        <w:rPr>
          <w:sz w:val="20"/>
          <w:szCs w:val="20"/>
          <w:color w:val="auto"/>
        </w:rPr>
      </w:pPr>
      <w:r>
        <w:rPr>
          <w:rFonts w:ascii="Times New Roman" w:cs="Times New Roman" w:eastAsia="Times New Roman" w:hAnsi="Times New Roman"/>
          <w:sz w:val="22"/>
          <w:szCs w:val="22"/>
          <w:color w:val="auto"/>
        </w:rPr>
        <w:t>On May 29, 2026, the Issuer and the Second Tranche Selling Parties entered into a Second Amendment to the Second Tranche Agreement (the "Second Amendment"). Pursuant to the Second Amendment, the Issuer issued a total of 62,579,674 Class A Ordinary Shares (the "Transaction"). The Transaction, which had previously been contemplated to be settled through the issuance of convertible notes, was instead settled through the issuance of Class A Ordinary Shares of the Issuer. The information set forth in Item 6 is hereby incorporated by reference in its entirety. Other than as set forth in this Schedule 13D, no Reporting Person has any present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of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(g) Changes in the Issuer's charter, bylaws or instruments corresponding thereto or other actions which may impede the acquisition of control of the Issuer by any person; (h) A class of securities of the Issuer being delisted from a national securities exchange or ceasing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2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99.1 Joint Filing Agreement (incorporated herein by reference to Exhibit 99.2 to the Reporting Person's Schedule 13D Amendment No. 2 filed with the Securities and Exchange Commission on January 15, 2026) 99.2 On-rack Sales and Purchase Agreement between NIP Group Inc. and Persons Listed in Section 1.1 of Appendix A, dated November 3, 2025 (incorporated herein by reference to Exhibit 99.2 to report of foreign private issuer on Form 6-K (File No. 001-42160), filed with Securities and Exchange Commission on November 3, 2025) 99.3 The Amendment to the On-rack Sales and Purchase Agreement, dated January 9, 2026 (incorporated herein by reference to Exhibit 99.2 to the Reporting Person's Schedule 13D Amendment No. 2 filed with the Securities and Exchange Commission on January 15, 2026) 99.4 The Second Amendment to the On-rack Sales and Purchase Agreement, dated May 29, 2026 (incorporated herein by reference to Exhibit 99.1 to report of foreign private issuer on Form 6-K (File No. 001-42160), filed with Securities and Exchange Commission on June 2, 2026)</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Prosperity Oak Holdings Limited</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CHIU Chang-Wei</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CHIU Chang-Wei/Director</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CHIU Chang-Wei</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CHIU Chang-Wei</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CHIU Chang-Wei</w:t>
      </w:r>
    </w:p>
    <w:p>
      <w:pPr>
        <w:spacing w:after="0" w:line="44"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2026-06-05T08:02:24Z</dcterms:created>
  <dcterms:modified xsi:type="dcterms:W3CDTF">2026-06-05T08:02:24Z</dcterms:modified>
</cp:coreProperties>
</file>